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39D" w:rsidRDefault="0026139D" w:rsidP="00D00F43">
      <w:pPr>
        <w:spacing w:line="480" w:lineRule="auto"/>
        <w:jc w:val="center"/>
        <w:rPr>
          <w:b/>
        </w:rPr>
      </w:pPr>
    </w:p>
    <w:p w:rsidR="0026139D" w:rsidRDefault="0026139D" w:rsidP="00D54A36">
      <w:pPr>
        <w:spacing w:line="480" w:lineRule="auto"/>
        <w:jc w:val="center"/>
        <w:rPr>
          <w:b/>
        </w:rPr>
      </w:pPr>
    </w:p>
    <w:p w:rsidR="0026139D" w:rsidRPr="00D54A36" w:rsidRDefault="0026139D" w:rsidP="00D54A36">
      <w:pPr>
        <w:spacing w:line="480" w:lineRule="auto"/>
        <w:jc w:val="center"/>
        <w:rPr>
          <w:b/>
        </w:rPr>
      </w:pPr>
      <w:r w:rsidRPr="00D54A36">
        <w:rPr>
          <w:b/>
        </w:rPr>
        <w:t>Insurance Prior Authorization Approval Does Not Substantially Lengthen the Emergency Department Length of Stay for Patients with Psychiatric Conditions</w:t>
      </w:r>
      <w:bookmarkStart w:id="0" w:name="_GoBack"/>
      <w:bookmarkEnd w:id="0"/>
    </w:p>
    <w:p w:rsidR="0026139D" w:rsidRDefault="0026139D" w:rsidP="007D3AF2">
      <w:pPr>
        <w:spacing w:line="480" w:lineRule="auto"/>
        <w:ind w:firstLine="720"/>
        <w:jc w:val="both"/>
      </w:pPr>
    </w:p>
    <w:p w:rsidR="0026139D" w:rsidRDefault="0026139D" w:rsidP="007D3AF2">
      <w:pPr>
        <w:spacing w:line="480" w:lineRule="auto"/>
        <w:ind w:firstLine="720"/>
        <w:jc w:val="both"/>
        <w:rPr>
          <w:rFonts w:ascii="Times" w:hAnsi="Times" w:cs="Times"/>
          <w:sz w:val="26"/>
          <w:szCs w:val="26"/>
          <w:lang w:eastAsia="ja-JP"/>
        </w:rPr>
      </w:pPr>
      <w:r>
        <w:t>A recently published</w:t>
      </w:r>
      <w:r w:rsidRPr="00405A50">
        <w:t xml:space="preserve"> prospective study of </w:t>
      </w:r>
      <w:r>
        <w:t xml:space="preserve">emergency department (ED) data from </w:t>
      </w:r>
      <w:r w:rsidRPr="00405A50">
        <w:t>over 1000 patients</w:t>
      </w:r>
      <w:r>
        <w:t xml:space="preserve"> with psychiatric illnesses found that </w:t>
      </w:r>
      <w:r w:rsidRPr="00405A50">
        <w:t xml:space="preserve">psychiatric </w:t>
      </w:r>
      <w:r w:rsidRPr="00405A50">
        <w:rPr>
          <w:u w:color="262626"/>
          <w:lang w:eastAsia="ja-JP"/>
        </w:rPr>
        <w:t>patients stayed in emergency rooms an average of 11.5 hours, and those who were transferred to another hospital averaged 15 hours.</w:t>
      </w:r>
      <w:r>
        <w:rPr>
          <w:u w:color="262626"/>
          <w:vertAlign w:val="superscript"/>
          <w:lang w:eastAsia="ja-JP"/>
        </w:rPr>
        <w:t>1</w:t>
      </w:r>
      <w:r w:rsidRPr="00405A50">
        <w:rPr>
          <w:u w:color="262626"/>
          <w:lang w:eastAsia="ja-JP"/>
        </w:rPr>
        <w:t xml:space="preserve"> </w:t>
      </w:r>
      <w:r>
        <w:rPr>
          <w:rFonts w:ascii="Times" w:hAnsi="Times" w:cs="Times"/>
          <w:sz w:val="26"/>
          <w:szCs w:val="26"/>
          <w:lang w:eastAsia="ja-JP"/>
        </w:rPr>
        <w:t xml:space="preserve"> </w:t>
      </w:r>
    </w:p>
    <w:p w:rsidR="0026139D" w:rsidRPr="005C7D26" w:rsidRDefault="0026139D" w:rsidP="000A37F0">
      <w:pPr>
        <w:spacing w:line="480" w:lineRule="auto"/>
        <w:ind w:firstLine="720"/>
        <w:jc w:val="both"/>
      </w:pPr>
      <w:r w:rsidRPr="005C7D26">
        <w:rPr>
          <w:lang w:eastAsia="ja-JP"/>
        </w:rPr>
        <w:t xml:space="preserve">We recently undertook a small pilot sample of convenience cases over a 3 month period of psychiatric patients deemed in need of inpatient admission and tabulated length of stay in the Cambridge Health Alliance psychiatric ED and the amount of time spent obtaining authorization from the insurer, to see </w:t>
      </w:r>
      <w:r w:rsidRPr="005C7D26">
        <w:t>if the prior authorization requirement adds to the overall length of time psychiatric patients wait.</w:t>
      </w:r>
    </w:p>
    <w:p w:rsidR="0026139D" w:rsidRDefault="0026139D" w:rsidP="00F1587A">
      <w:pPr>
        <w:spacing w:line="480" w:lineRule="auto"/>
        <w:ind w:firstLine="720"/>
      </w:pPr>
      <w:r>
        <w:t>Data were recorded on a</w:t>
      </w:r>
      <w:r w:rsidRPr="00711E13">
        <w:t xml:space="preserve"> total of 53 </w:t>
      </w:r>
      <w:r>
        <w:t xml:space="preserve">patients.  </w:t>
      </w:r>
      <w:r w:rsidRPr="00711E13">
        <w:t xml:space="preserve">The patients </w:t>
      </w:r>
      <w:r>
        <w:t xml:space="preserve">were mostly Caucasian (n=36) and </w:t>
      </w:r>
      <w:r w:rsidRPr="00711E13">
        <w:t xml:space="preserve">ranged in age </w:t>
      </w:r>
      <w:r>
        <w:t>from</w:t>
      </w:r>
      <w:r w:rsidRPr="00711E13">
        <w:t xml:space="preserve"> 7 to 68 years old. Diagnoses </w:t>
      </w:r>
      <w:r>
        <w:t xml:space="preserve">spanned </w:t>
      </w:r>
      <w:r w:rsidRPr="00711E13">
        <w:t xml:space="preserve">the </w:t>
      </w:r>
      <w:r>
        <w:t xml:space="preserve">entire </w:t>
      </w:r>
      <w:r w:rsidRPr="00711E13">
        <w:t xml:space="preserve">psychiatric spectrum. The chief complaint was overwhelmingly suicidal ideation. The insurance companies </w:t>
      </w:r>
      <w:r>
        <w:t xml:space="preserve">involved </w:t>
      </w:r>
      <w:r w:rsidRPr="00711E13">
        <w:t>included all of the major public and private insurers in Massachusetts with the exception of Medicare</w:t>
      </w:r>
      <w:r>
        <w:t xml:space="preserve"> (which does not require prior authorization for psychiatric admissions), and in all but one</w:t>
      </w:r>
      <w:r w:rsidRPr="00711E13">
        <w:t xml:space="preserve"> case </w:t>
      </w:r>
      <w:r>
        <w:t>the</w:t>
      </w:r>
      <w:r w:rsidRPr="00711E13">
        <w:t xml:space="preserve"> request for authorization </w:t>
      </w:r>
      <w:r>
        <w:t xml:space="preserve">was granted.  </w:t>
      </w:r>
    </w:p>
    <w:p w:rsidR="0026139D" w:rsidRPr="00405A50" w:rsidRDefault="0026139D" w:rsidP="00F1587A">
      <w:pPr>
        <w:spacing w:line="480" w:lineRule="auto"/>
        <w:ind w:firstLine="720"/>
      </w:pPr>
      <w:r>
        <w:t>R</w:t>
      </w:r>
      <w:r w:rsidRPr="00711E13">
        <w:t xml:space="preserve">esidents averaged 38 minutes from time of first contact with the insurance company until authorization was either granted or denied. </w:t>
      </w:r>
      <w:r>
        <w:t xml:space="preserve">  </w:t>
      </w:r>
      <w:r w:rsidRPr="00AD1F93">
        <w:t xml:space="preserve">Although half of the authorization requests took under 20 minutes to be approved, </w:t>
      </w:r>
      <w:r w:rsidRPr="00711E13">
        <w:t xml:space="preserve">for about 10% of </w:t>
      </w:r>
      <w:r>
        <w:t xml:space="preserve">patients </w:t>
      </w:r>
      <w:r w:rsidRPr="00AD1F93">
        <w:t>authorization requests took an hour or more to approve</w:t>
      </w:r>
      <w:r>
        <w:t>,</w:t>
      </w:r>
      <w:r w:rsidRPr="00AD1F93">
        <w:t xml:space="preserve"> with the longest request taking 5 hours to be approved</w:t>
      </w:r>
      <w:r>
        <w:t>. Median total time in the ED was</w:t>
      </w:r>
      <w:r w:rsidRPr="00711E13">
        <w:t xml:space="preserve"> 8.5 hours</w:t>
      </w:r>
      <w:r>
        <w:t>,</w:t>
      </w:r>
      <w:r w:rsidRPr="00711E13">
        <w:t xml:space="preserve"> with the shortest stay lasting 3 hours and the longest lasting 20 hours</w:t>
      </w:r>
      <w:r>
        <w:t>.  We did not differentiate whether our patients were placed within our own institution or another one, but anecdotally patients admitted to our own institution left the ED more quickly than those placed elsewhere, something that was in fact true in the recently published study cited above.</w:t>
      </w:r>
      <w:r w:rsidRPr="001B397C">
        <w:rPr>
          <w:vertAlign w:val="superscript"/>
        </w:rPr>
        <w:t>1</w:t>
      </w:r>
    </w:p>
    <w:p w:rsidR="0026139D" w:rsidRPr="00310F0E" w:rsidRDefault="0026139D" w:rsidP="00310F0E">
      <w:pPr>
        <w:spacing w:line="480" w:lineRule="auto"/>
        <w:ind w:firstLine="720"/>
        <w:jc w:val="both"/>
        <w:rPr>
          <w:rFonts w:ascii="Arial" w:hAnsi="Arial" w:cs="Arial"/>
          <w:sz w:val="26"/>
          <w:szCs w:val="26"/>
          <w:u w:color="262626"/>
          <w:lang w:eastAsia="ja-JP"/>
        </w:rPr>
      </w:pPr>
      <w:r w:rsidRPr="00405A50">
        <w:rPr>
          <w:u w:color="262626"/>
          <w:lang w:eastAsia="ja-JP"/>
        </w:rPr>
        <w:t xml:space="preserve">Our </w:t>
      </w:r>
      <w:r>
        <w:rPr>
          <w:u w:color="262626"/>
          <w:lang w:eastAsia="ja-JP"/>
        </w:rPr>
        <w:t xml:space="preserve">actual </w:t>
      </w:r>
      <w:r w:rsidRPr="00405A50">
        <w:rPr>
          <w:u w:color="262626"/>
          <w:lang w:eastAsia="ja-JP"/>
        </w:rPr>
        <w:t xml:space="preserve">average length of stay is undoubtedly higher than we calculated, though, because </w:t>
      </w:r>
      <w:r>
        <w:rPr>
          <w:u w:color="262626"/>
          <w:lang w:eastAsia="ja-JP"/>
        </w:rPr>
        <w:t>our data</w:t>
      </w:r>
      <w:r w:rsidRPr="00405A50">
        <w:rPr>
          <w:u w:color="262626"/>
          <w:lang w:eastAsia="ja-JP"/>
        </w:rPr>
        <w:t xml:space="preserve"> do not include </w:t>
      </w:r>
      <w:r w:rsidRPr="00405A50">
        <w:t xml:space="preserve">5-7 patients who boarded in the </w:t>
      </w:r>
      <w:r>
        <w:t>ED</w:t>
      </w:r>
      <w:r w:rsidRPr="00405A50">
        <w:t xml:space="preserve"> over the weekend while waiting for an inpatient bed to become available for them. Because these individuals were shuffled between residents over several shifts, their data</w:t>
      </w:r>
      <w:r>
        <w:t xml:space="preserve"> were not recorded.  In addition, we did not record data for uninsured patients—since these individuals obviously did not require any prior authorization--whose placement at any institution other than our own was essentially impossible.</w:t>
      </w:r>
    </w:p>
    <w:p w:rsidR="0026139D" w:rsidRDefault="0026139D" w:rsidP="000C7B2F">
      <w:pPr>
        <w:spacing w:line="480" w:lineRule="auto"/>
        <w:ind w:firstLine="720"/>
        <w:jc w:val="both"/>
      </w:pPr>
      <w:r>
        <w:t xml:space="preserve">Our findings indicate that the need to obtain prior authorization does not add much time to the total time psychiatric patients spend in EDs.  Furthermore, </w:t>
      </w:r>
      <w:r w:rsidRPr="00711E13">
        <w:t xml:space="preserve">if the pre-authorization process </w:t>
      </w:r>
      <w:r>
        <w:t xml:space="preserve">does help contain costs, it does so </w:t>
      </w:r>
      <w:r w:rsidRPr="00711E13">
        <w:t>largely through a deterrent effect</w:t>
      </w:r>
      <w:r>
        <w:t>—we call it “rationing by hassle factor”--</w:t>
      </w:r>
      <w:r w:rsidRPr="00711E13">
        <w:t>given that in all but one case physician requests for authorization were granted.</w:t>
      </w:r>
      <w:r>
        <w:t xml:space="preserve">  </w:t>
      </w:r>
    </w:p>
    <w:p w:rsidR="0026139D" w:rsidRDefault="0026139D" w:rsidP="007863C1">
      <w:pPr>
        <w:spacing w:line="480" w:lineRule="auto"/>
        <w:ind w:firstLine="720"/>
        <w:jc w:val="both"/>
      </w:pPr>
      <w:r>
        <w:t>Because r</w:t>
      </w:r>
      <w:r w:rsidRPr="00711E13">
        <w:t xml:space="preserve">eimbursements </w:t>
      </w:r>
      <w:r>
        <w:t>for psychiatric services are</w:t>
      </w:r>
      <w:r w:rsidRPr="00711E13">
        <w:t xml:space="preserve"> lower than for other types of care</w:t>
      </w:r>
      <w:r>
        <w:t>, health care organizations that do offer psychiatric services</w:t>
      </w:r>
      <w:r w:rsidRPr="00711E13">
        <w:t xml:space="preserve"> frequently</w:t>
      </w:r>
      <w:r>
        <w:t xml:space="preserve"> place obstacles in the way of accessing outpatient psychiatric care and limit the number of </w:t>
      </w:r>
      <w:r w:rsidRPr="00711E13">
        <w:t xml:space="preserve">inpatient psychiatric beds </w:t>
      </w:r>
      <w:r>
        <w:t>they maintain.</w:t>
      </w:r>
      <w:r w:rsidRPr="00711E13">
        <w:t xml:space="preserve"> </w:t>
      </w:r>
      <w:r>
        <w:t xml:space="preserve">  As a result, demand for psychiatric services frequently outstrips supply,</w:t>
      </w:r>
      <w:r w:rsidRPr="00987B97">
        <w:rPr>
          <w:vertAlign w:val="superscript"/>
        </w:rPr>
        <w:t>2</w:t>
      </w:r>
      <w:r>
        <w:t xml:space="preserve"> and the result is that our </w:t>
      </w:r>
      <w:r w:rsidRPr="00711E13">
        <w:t xml:space="preserve">nation’s </w:t>
      </w:r>
      <w:r>
        <w:t>EDs</w:t>
      </w:r>
      <w:r w:rsidRPr="00711E13">
        <w:t xml:space="preserve"> </w:t>
      </w:r>
      <w:r>
        <w:t>are</w:t>
      </w:r>
      <w:r w:rsidRPr="00711E13">
        <w:t xml:space="preserve"> </w:t>
      </w:r>
      <w:r w:rsidRPr="00711E13">
        <w:rPr>
          <w:i/>
          <w:iCs/>
        </w:rPr>
        <w:t>de facto</w:t>
      </w:r>
      <w:r w:rsidRPr="00711E13">
        <w:t xml:space="preserve"> psychiatric wards, with 79% of emergency </w:t>
      </w:r>
      <w:r>
        <w:t>physician</w:t>
      </w:r>
      <w:r w:rsidRPr="00711E13">
        <w:t>s reporting that their hospitals board psychiatric patients for whom appropriate treatment resources could no</w:t>
      </w:r>
      <w:r>
        <w:t>t be found, sometimes for days.</w:t>
      </w:r>
      <w:r>
        <w:rPr>
          <w:vertAlign w:val="superscript"/>
        </w:rPr>
        <w:t xml:space="preserve">3  </w:t>
      </w:r>
      <w:r>
        <w:t>The situation is so dire that EDs now being designed and configured to house psychiatric patients awaiting placement.</w:t>
      </w:r>
      <w:r w:rsidRPr="007863C1">
        <w:rPr>
          <w:vertAlign w:val="superscript"/>
        </w:rPr>
        <w:t xml:space="preserve">4 </w:t>
      </w:r>
      <w:r>
        <w:t xml:space="preserve"> </w:t>
      </w:r>
    </w:p>
    <w:p w:rsidR="0026139D" w:rsidRPr="00711E13" w:rsidRDefault="0026139D" w:rsidP="007863C1">
      <w:pPr>
        <w:spacing w:line="480" w:lineRule="auto"/>
        <w:ind w:firstLine="720"/>
        <w:jc w:val="both"/>
      </w:pPr>
      <w:r>
        <w:t xml:space="preserve">Given our small sample size, our results probably cannot be generalized.  However, given that Massachusetts was the model for national health care reform and the greater Boston area has more psychiatric offerings than many other locales, the difficulty of accessing psychiatric services in most other parts of the US is likely worse than what we found in our study.  Emergency personnel and psychiatric patients deserve better.  </w:t>
      </w:r>
    </w:p>
    <w:p w:rsidR="0026139D" w:rsidRDefault="0026139D" w:rsidP="00593C3F">
      <w:pPr>
        <w:spacing w:line="480" w:lineRule="auto"/>
        <w:jc w:val="both"/>
      </w:pPr>
    </w:p>
    <w:p w:rsidR="0026139D" w:rsidRPr="00711E13" w:rsidRDefault="0026139D" w:rsidP="00593C3F">
      <w:pPr>
        <w:spacing w:line="480" w:lineRule="auto"/>
        <w:jc w:val="both"/>
      </w:pPr>
    </w:p>
    <w:p w:rsidR="0026139D" w:rsidRPr="00711E13" w:rsidRDefault="0026139D" w:rsidP="00593C3F">
      <w:pPr>
        <w:jc w:val="both"/>
      </w:pPr>
    </w:p>
    <w:p w:rsidR="0026139D" w:rsidRDefault="0026139D" w:rsidP="00923010">
      <w:pPr>
        <w:jc w:val="center"/>
        <w:rPr>
          <w:b/>
        </w:rPr>
      </w:pPr>
    </w:p>
    <w:p w:rsidR="0026139D" w:rsidRDefault="0026139D" w:rsidP="00923010">
      <w:pPr>
        <w:jc w:val="center"/>
        <w:rPr>
          <w:b/>
        </w:rPr>
      </w:pPr>
    </w:p>
    <w:p w:rsidR="0026139D" w:rsidRDefault="0026139D" w:rsidP="00923010">
      <w:pPr>
        <w:jc w:val="center"/>
        <w:rPr>
          <w:b/>
        </w:rPr>
      </w:pPr>
    </w:p>
    <w:p w:rsidR="0026139D" w:rsidRDefault="0026139D" w:rsidP="00923010">
      <w:pPr>
        <w:jc w:val="center"/>
        <w:rPr>
          <w:color w:val="000000"/>
        </w:rPr>
      </w:pPr>
      <w:r w:rsidRPr="00FA69C1">
        <w:rPr>
          <w:color w:val="000000"/>
        </w:rPr>
        <w:t>Bibliography</w:t>
      </w:r>
    </w:p>
    <w:p w:rsidR="0026139D" w:rsidRPr="00FA69C1" w:rsidRDefault="0026139D" w:rsidP="00923010">
      <w:pPr>
        <w:jc w:val="center"/>
        <w:rPr>
          <w:color w:val="000000"/>
        </w:rPr>
      </w:pPr>
    </w:p>
    <w:p w:rsidR="0026139D" w:rsidRPr="00FA69C1" w:rsidRDefault="0026139D" w:rsidP="00923010">
      <w:pPr>
        <w:jc w:val="center"/>
        <w:rPr>
          <w:color w:val="000000"/>
        </w:rPr>
      </w:pPr>
    </w:p>
    <w:p w:rsidR="0026139D" w:rsidRPr="002A35C6" w:rsidRDefault="0026139D" w:rsidP="006E40BC">
      <w:pPr>
        <w:pStyle w:val="ListParagraph"/>
        <w:widowControl w:val="0"/>
        <w:numPr>
          <w:ilvl w:val="0"/>
          <w:numId w:val="8"/>
        </w:numPr>
        <w:autoSpaceDE w:val="0"/>
        <w:autoSpaceDN w:val="0"/>
        <w:adjustRightInd w:val="0"/>
        <w:rPr>
          <w:rFonts w:ascii="Times New Roman" w:hAnsi="Times New Roman"/>
          <w:color w:val="000000"/>
          <w:sz w:val="24"/>
          <w:szCs w:val="24"/>
          <w:lang w:eastAsia="ja-JP"/>
        </w:rPr>
      </w:pPr>
      <w:hyperlink r:id="rId5" w:history="1">
        <w:r w:rsidRPr="002A35C6">
          <w:rPr>
            <w:rFonts w:ascii="Times New Roman" w:hAnsi="Times New Roman" w:cs="Arial"/>
            <w:color w:val="000000"/>
            <w:sz w:val="24"/>
            <w:szCs w:val="24"/>
            <w:u w:color="262626"/>
            <w:lang w:eastAsia="ja-JP"/>
          </w:rPr>
          <w:t>Weiss AP</w:t>
        </w:r>
      </w:hyperlink>
      <w:r w:rsidRPr="002A35C6">
        <w:rPr>
          <w:rFonts w:ascii="Times New Roman" w:hAnsi="Times New Roman" w:cs="Arial"/>
          <w:color w:val="000000"/>
          <w:sz w:val="24"/>
          <w:szCs w:val="24"/>
          <w:u w:color="262626"/>
          <w:lang w:eastAsia="ja-JP"/>
        </w:rPr>
        <w:t xml:space="preserve">, </w:t>
      </w:r>
      <w:hyperlink r:id="rId6" w:history="1">
        <w:r w:rsidRPr="002A35C6">
          <w:rPr>
            <w:rFonts w:ascii="Times New Roman" w:hAnsi="Times New Roman" w:cs="Arial"/>
            <w:color w:val="000000"/>
            <w:sz w:val="24"/>
            <w:szCs w:val="24"/>
            <w:u w:color="262626"/>
            <w:lang w:eastAsia="ja-JP"/>
          </w:rPr>
          <w:t>Chang G</w:t>
        </w:r>
      </w:hyperlink>
      <w:r w:rsidRPr="002A35C6">
        <w:rPr>
          <w:rFonts w:ascii="Times New Roman" w:hAnsi="Times New Roman" w:cs="Arial"/>
          <w:color w:val="000000"/>
          <w:sz w:val="24"/>
          <w:szCs w:val="24"/>
          <w:u w:color="262626"/>
          <w:lang w:eastAsia="ja-JP"/>
        </w:rPr>
        <w:t xml:space="preserve">, </w:t>
      </w:r>
      <w:hyperlink r:id="rId7" w:history="1">
        <w:r w:rsidRPr="002A35C6">
          <w:rPr>
            <w:rFonts w:ascii="Times New Roman" w:hAnsi="Times New Roman" w:cs="Arial"/>
            <w:color w:val="000000"/>
            <w:sz w:val="24"/>
            <w:szCs w:val="24"/>
            <w:u w:color="262626"/>
            <w:lang w:eastAsia="ja-JP"/>
          </w:rPr>
          <w:t>Rauch SL</w:t>
        </w:r>
      </w:hyperlink>
      <w:r w:rsidRPr="002A35C6">
        <w:rPr>
          <w:rFonts w:ascii="Times New Roman" w:hAnsi="Times New Roman" w:cs="Arial"/>
          <w:color w:val="000000"/>
          <w:sz w:val="24"/>
          <w:szCs w:val="24"/>
          <w:u w:color="262626"/>
          <w:lang w:eastAsia="ja-JP"/>
        </w:rPr>
        <w:t xml:space="preserve">, </w:t>
      </w:r>
      <w:hyperlink r:id="rId8" w:history="1">
        <w:r w:rsidRPr="002A35C6">
          <w:rPr>
            <w:rFonts w:ascii="Times New Roman" w:hAnsi="Times New Roman" w:cs="Arial"/>
            <w:color w:val="000000"/>
            <w:sz w:val="24"/>
            <w:szCs w:val="24"/>
            <w:u w:color="262626"/>
            <w:lang w:eastAsia="ja-JP"/>
          </w:rPr>
          <w:t>Smallwood JA</w:t>
        </w:r>
      </w:hyperlink>
      <w:r w:rsidRPr="002A35C6">
        <w:rPr>
          <w:rFonts w:ascii="Times New Roman" w:hAnsi="Times New Roman" w:cs="Arial"/>
          <w:color w:val="000000"/>
          <w:sz w:val="24"/>
          <w:szCs w:val="24"/>
          <w:u w:color="262626"/>
          <w:lang w:eastAsia="ja-JP"/>
        </w:rPr>
        <w:t xml:space="preserve">, </w:t>
      </w:r>
      <w:hyperlink r:id="rId9" w:history="1">
        <w:r w:rsidRPr="002A35C6">
          <w:rPr>
            <w:rFonts w:ascii="Times New Roman" w:hAnsi="Times New Roman" w:cs="Arial"/>
            <w:color w:val="000000"/>
            <w:sz w:val="24"/>
            <w:szCs w:val="24"/>
            <w:u w:color="262626"/>
            <w:lang w:eastAsia="ja-JP"/>
          </w:rPr>
          <w:t>Schechter M</w:t>
        </w:r>
      </w:hyperlink>
      <w:r w:rsidRPr="002A35C6">
        <w:rPr>
          <w:rFonts w:ascii="Times New Roman" w:hAnsi="Times New Roman" w:cs="Arial"/>
          <w:color w:val="000000"/>
          <w:sz w:val="24"/>
          <w:szCs w:val="24"/>
          <w:u w:color="262626"/>
          <w:lang w:eastAsia="ja-JP"/>
        </w:rPr>
        <w:t xml:space="preserve">, </w:t>
      </w:r>
      <w:hyperlink r:id="rId10" w:history="1">
        <w:r w:rsidRPr="002A35C6">
          <w:rPr>
            <w:rFonts w:ascii="Times New Roman" w:hAnsi="Times New Roman" w:cs="Arial"/>
            <w:color w:val="000000"/>
            <w:sz w:val="24"/>
            <w:szCs w:val="24"/>
            <w:u w:color="262626"/>
            <w:lang w:eastAsia="ja-JP"/>
          </w:rPr>
          <w:t>Kosowsky J</w:t>
        </w:r>
      </w:hyperlink>
      <w:r w:rsidRPr="002A35C6">
        <w:rPr>
          <w:rFonts w:ascii="Times New Roman" w:hAnsi="Times New Roman" w:cs="Arial"/>
          <w:color w:val="000000"/>
          <w:sz w:val="24"/>
          <w:szCs w:val="24"/>
          <w:u w:color="262626"/>
          <w:lang w:eastAsia="ja-JP"/>
        </w:rPr>
        <w:t xml:space="preserve">, </w:t>
      </w:r>
      <w:hyperlink r:id="rId11" w:history="1">
        <w:r w:rsidRPr="002A35C6">
          <w:rPr>
            <w:rFonts w:ascii="Times New Roman" w:hAnsi="Times New Roman" w:cs="Arial"/>
            <w:color w:val="000000"/>
            <w:sz w:val="24"/>
            <w:szCs w:val="24"/>
            <w:u w:color="262626"/>
            <w:lang w:eastAsia="ja-JP"/>
          </w:rPr>
          <w:t>Hazen E</w:t>
        </w:r>
      </w:hyperlink>
      <w:r w:rsidRPr="002A35C6">
        <w:rPr>
          <w:rFonts w:ascii="Times New Roman" w:hAnsi="Times New Roman" w:cs="Arial"/>
          <w:color w:val="000000"/>
          <w:sz w:val="24"/>
          <w:szCs w:val="24"/>
          <w:u w:color="262626"/>
          <w:lang w:eastAsia="ja-JP"/>
        </w:rPr>
        <w:t xml:space="preserve">, </w:t>
      </w:r>
      <w:hyperlink r:id="rId12" w:history="1">
        <w:r w:rsidRPr="002A35C6">
          <w:rPr>
            <w:rFonts w:ascii="Times New Roman" w:hAnsi="Times New Roman" w:cs="Arial"/>
            <w:color w:val="000000"/>
            <w:sz w:val="24"/>
            <w:szCs w:val="24"/>
            <w:u w:color="262626"/>
            <w:lang w:eastAsia="ja-JP"/>
          </w:rPr>
          <w:t>Haimovici F</w:t>
        </w:r>
      </w:hyperlink>
      <w:r w:rsidRPr="002A35C6">
        <w:rPr>
          <w:rFonts w:ascii="Times New Roman" w:hAnsi="Times New Roman" w:cs="Arial"/>
          <w:color w:val="000000"/>
          <w:sz w:val="24"/>
          <w:szCs w:val="24"/>
          <w:u w:color="262626"/>
          <w:lang w:eastAsia="ja-JP"/>
        </w:rPr>
        <w:t xml:space="preserve">, </w:t>
      </w:r>
      <w:hyperlink r:id="rId13" w:history="1">
        <w:r w:rsidRPr="002A35C6">
          <w:rPr>
            <w:rFonts w:ascii="Times New Roman" w:hAnsi="Times New Roman" w:cs="Arial"/>
            <w:color w:val="000000"/>
            <w:sz w:val="24"/>
            <w:szCs w:val="24"/>
            <w:u w:color="262626"/>
            <w:lang w:eastAsia="ja-JP"/>
          </w:rPr>
          <w:t>Gitlin DF</w:t>
        </w:r>
      </w:hyperlink>
      <w:r w:rsidRPr="002A35C6">
        <w:rPr>
          <w:rFonts w:ascii="Times New Roman" w:hAnsi="Times New Roman" w:cs="Arial"/>
          <w:color w:val="000000"/>
          <w:sz w:val="24"/>
          <w:szCs w:val="24"/>
          <w:u w:color="262626"/>
          <w:lang w:eastAsia="ja-JP"/>
        </w:rPr>
        <w:t xml:space="preserve">, </w:t>
      </w:r>
      <w:hyperlink r:id="rId14" w:history="1">
        <w:r w:rsidRPr="002A35C6">
          <w:rPr>
            <w:rFonts w:ascii="Times New Roman" w:hAnsi="Times New Roman" w:cs="Arial"/>
            <w:color w:val="000000"/>
            <w:sz w:val="24"/>
            <w:szCs w:val="24"/>
            <w:u w:color="262626"/>
            <w:lang w:eastAsia="ja-JP"/>
          </w:rPr>
          <w:t>Finn CT</w:t>
        </w:r>
      </w:hyperlink>
      <w:r w:rsidRPr="002A35C6">
        <w:rPr>
          <w:rFonts w:ascii="Times New Roman" w:hAnsi="Times New Roman" w:cs="Arial"/>
          <w:color w:val="000000"/>
          <w:sz w:val="24"/>
          <w:szCs w:val="24"/>
          <w:u w:color="262626"/>
          <w:lang w:eastAsia="ja-JP"/>
        </w:rPr>
        <w:t xml:space="preserve">, </w:t>
      </w:r>
      <w:hyperlink r:id="rId15" w:history="1">
        <w:r w:rsidRPr="002A35C6">
          <w:rPr>
            <w:rFonts w:ascii="Times New Roman" w:hAnsi="Times New Roman" w:cs="Arial"/>
            <w:color w:val="000000"/>
            <w:sz w:val="24"/>
            <w:szCs w:val="24"/>
            <w:u w:color="262626"/>
            <w:lang w:eastAsia="ja-JP"/>
          </w:rPr>
          <w:t>Orav EJ</w:t>
        </w:r>
      </w:hyperlink>
      <w:r w:rsidRPr="002A35C6">
        <w:rPr>
          <w:rFonts w:ascii="Times New Roman" w:hAnsi="Times New Roman" w:cs="Arial"/>
          <w:color w:val="000000"/>
          <w:sz w:val="24"/>
          <w:szCs w:val="24"/>
          <w:u w:color="262626"/>
          <w:lang w:eastAsia="ja-JP"/>
        </w:rPr>
        <w:t>.</w:t>
      </w:r>
      <w:r w:rsidRPr="002A35C6">
        <w:rPr>
          <w:rFonts w:ascii="Times New Roman" w:hAnsi="Times New Roman"/>
          <w:color w:val="000000"/>
          <w:sz w:val="24"/>
          <w:szCs w:val="24"/>
          <w:lang w:eastAsia="ja-JP"/>
        </w:rPr>
        <w:t xml:space="preserve">   </w:t>
      </w:r>
      <w:r w:rsidRPr="002A35C6">
        <w:rPr>
          <w:rFonts w:ascii="Times New Roman" w:hAnsi="Times New Roman" w:cs="Arial"/>
          <w:color w:val="000000"/>
          <w:sz w:val="24"/>
          <w:szCs w:val="24"/>
          <w:u w:color="262626"/>
          <w:lang w:eastAsia="ja-JP"/>
        </w:rPr>
        <w:t xml:space="preserve">Patient- and practice-related determinants of emergency department length of stay for patients with psychiatric illness.  </w:t>
      </w:r>
      <w:r w:rsidRPr="002A35C6">
        <w:rPr>
          <w:rFonts w:ascii="Times New Roman" w:hAnsi="Times New Roman"/>
          <w:color w:val="000000"/>
          <w:sz w:val="24"/>
          <w:szCs w:val="24"/>
          <w:lang w:eastAsia="ja-JP"/>
        </w:rPr>
        <w:t xml:space="preserve">Ann Emerg Med. 2012 </w:t>
      </w:r>
      <w:r w:rsidRPr="002A35C6">
        <w:rPr>
          <w:rFonts w:ascii="Times New Roman" w:hAnsi="Times New Roman" w:cs="Arial"/>
          <w:color w:val="000000"/>
          <w:sz w:val="24"/>
          <w:szCs w:val="24"/>
          <w:u w:color="262626"/>
          <w:lang w:eastAsia="ja-JP"/>
        </w:rPr>
        <w:t>Aug; 60 (2): 162-71.e5. Epub 2012 May 2</w:t>
      </w:r>
      <w:r>
        <w:rPr>
          <w:rFonts w:ascii="Times New Roman" w:hAnsi="Times New Roman" w:cs="Arial"/>
          <w:color w:val="000000"/>
          <w:sz w:val="24"/>
          <w:szCs w:val="24"/>
          <w:u w:color="262626"/>
          <w:lang w:eastAsia="ja-JP"/>
        </w:rPr>
        <w:t>.</w:t>
      </w:r>
    </w:p>
    <w:p w:rsidR="0026139D" w:rsidRPr="002A35C6" w:rsidRDefault="0026139D" w:rsidP="00A5288B">
      <w:pPr>
        <w:pStyle w:val="ListParagraph"/>
        <w:ind w:left="900"/>
        <w:rPr>
          <w:rFonts w:ascii="Times New Roman" w:hAnsi="Times New Roman"/>
          <w:color w:val="000000"/>
          <w:sz w:val="24"/>
          <w:szCs w:val="24"/>
        </w:rPr>
      </w:pPr>
    </w:p>
    <w:p w:rsidR="0026139D" w:rsidRDefault="0026139D" w:rsidP="00C8299D">
      <w:pPr>
        <w:pStyle w:val="ListParagraph"/>
        <w:numPr>
          <w:ilvl w:val="0"/>
          <w:numId w:val="8"/>
        </w:numPr>
        <w:rPr>
          <w:rFonts w:ascii="Times New Roman" w:hAnsi="Times New Roman"/>
          <w:color w:val="000000"/>
          <w:sz w:val="24"/>
          <w:szCs w:val="24"/>
        </w:rPr>
      </w:pPr>
      <w:r w:rsidRPr="002A35C6">
        <w:rPr>
          <w:rFonts w:ascii="Times New Roman" w:hAnsi="Times New Roman"/>
          <w:color w:val="000000"/>
          <w:sz w:val="24"/>
          <w:szCs w:val="24"/>
        </w:rPr>
        <w:t>Boyd JW, Linsenmeyer A, Woolhandler S, Himmelstein DU, Nardin R.  The Crisis in Mental Health Care</w:t>
      </w:r>
      <w:r w:rsidRPr="00FA69C1">
        <w:rPr>
          <w:rFonts w:ascii="Times New Roman" w:hAnsi="Times New Roman"/>
          <w:color w:val="000000"/>
          <w:sz w:val="24"/>
          <w:szCs w:val="24"/>
        </w:rPr>
        <w:t>:  A Preliminary Study of Access to Psychiatric Care in Boston.  Annals of Emergency Medicine.  2011 Aug; 58 (2):  218-9.</w:t>
      </w:r>
    </w:p>
    <w:p w:rsidR="0026139D" w:rsidRPr="00A5288B" w:rsidRDefault="0026139D" w:rsidP="00A5288B">
      <w:pPr>
        <w:widowControl w:val="0"/>
        <w:autoSpaceDE w:val="0"/>
        <w:autoSpaceDN w:val="0"/>
        <w:adjustRightInd w:val="0"/>
        <w:rPr>
          <w:color w:val="000000"/>
          <w:lang w:eastAsia="ja-JP"/>
        </w:rPr>
      </w:pPr>
    </w:p>
    <w:p w:rsidR="0026139D" w:rsidRPr="00371C0D" w:rsidRDefault="0026139D" w:rsidP="00987B97">
      <w:pPr>
        <w:pStyle w:val="ListParagraph"/>
        <w:numPr>
          <w:ilvl w:val="0"/>
          <w:numId w:val="8"/>
        </w:numPr>
        <w:rPr>
          <w:rFonts w:ascii="Times New Roman" w:hAnsi="Times New Roman"/>
          <w:color w:val="000000"/>
          <w:sz w:val="24"/>
          <w:szCs w:val="24"/>
        </w:rPr>
      </w:pPr>
      <w:r w:rsidRPr="00FA69C1">
        <w:rPr>
          <w:rFonts w:ascii="Times New Roman" w:hAnsi="Times New Roman"/>
          <w:color w:val="000000"/>
          <w:sz w:val="24"/>
          <w:szCs w:val="24"/>
        </w:rPr>
        <w:t xml:space="preserve">ACEP psychiatric and substance abuse survey 2008. Irving, TX: American College of Emergency Physicians, 2008. (Accessed September 26, 2010, at </w:t>
      </w:r>
      <w:hyperlink r:id="rId16" w:history="1">
        <w:r w:rsidRPr="00FA69C1">
          <w:rPr>
            <w:rStyle w:val="Hyperlink"/>
            <w:rFonts w:ascii="Times New Roman" w:hAnsi="Times New Roman"/>
            <w:color w:val="000000"/>
            <w:sz w:val="24"/>
            <w:szCs w:val="24"/>
            <w:u w:val="none"/>
          </w:rPr>
          <w:t>http://www.acep.org/uploadedfiles/ACEP/Advocacy/federal_issues/PsychiatricBoardingSummary.pdf</w:t>
        </w:r>
      </w:hyperlink>
      <w:r w:rsidRPr="00FA69C1">
        <w:rPr>
          <w:rFonts w:ascii="Times New Roman" w:hAnsi="Times New Roman"/>
          <w:color w:val="000000"/>
          <w:sz w:val="24"/>
          <w:szCs w:val="24"/>
        </w:rPr>
        <w:t xml:space="preserve">).  </w:t>
      </w:r>
    </w:p>
    <w:p w:rsidR="0026139D" w:rsidRDefault="0026139D" w:rsidP="00987B97">
      <w:pPr>
        <w:pStyle w:val="ListParagraph"/>
        <w:ind w:left="900"/>
        <w:rPr>
          <w:rFonts w:ascii="Times New Roman" w:hAnsi="Times New Roman"/>
          <w:color w:val="000000"/>
          <w:sz w:val="24"/>
          <w:szCs w:val="24"/>
        </w:rPr>
      </w:pPr>
    </w:p>
    <w:p w:rsidR="0026139D" w:rsidRPr="00FA69C1" w:rsidRDefault="0026139D" w:rsidP="00C8299D">
      <w:pPr>
        <w:pStyle w:val="ListParagraph"/>
        <w:numPr>
          <w:ilvl w:val="0"/>
          <w:numId w:val="8"/>
        </w:numPr>
        <w:rPr>
          <w:rFonts w:ascii="Times New Roman" w:hAnsi="Times New Roman"/>
          <w:color w:val="000000"/>
          <w:sz w:val="24"/>
          <w:szCs w:val="24"/>
        </w:rPr>
      </w:pPr>
      <w:r>
        <w:rPr>
          <w:rFonts w:ascii="Times New Roman" w:hAnsi="Times New Roman"/>
          <w:color w:val="000000"/>
          <w:sz w:val="24"/>
          <w:szCs w:val="24"/>
        </w:rPr>
        <w:t>Personal conversation with Martin Batt, principal architect, Isgenuity, August 3, 2012.</w:t>
      </w:r>
    </w:p>
    <w:p w:rsidR="0026139D" w:rsidRPr="00FA69C1" w:rsidRDefault="0026139D" w:rsidP="0092301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p>
    <w:p w:rsidR="0026139D" w:rsidRDefault="0026139D" w:rsidP="00593C3F">
      <w:pPr>
        <w:jc w:val="both"/>
        <w:rPr>
          <w:rFonts w:ascii="Times" w:hAnsi="Times" w:cs="Times"/>
          <w:sz w:val="26"/>
          <w:szCs w:val="26"/>
          <w:lang w:eastAsia="ja-JP"/>
        </w:rPr>
      </w:pPr>
      <w:r>
        <w:rPr>
          <w:rFonts w:ascii="Times" w:hAnsi="Times" w:cs="Times"/>
          <w:sz w:val="26"/>
          <w:szCs w:val="26"/>
          <w:lang w:eastAsia="ja-JP"/>
        </w:rPr>
        <w:t> </w:t>
      </w:r>
    </w:p>
    <w:p w:rsidR="0026139D" w:rsidRDefault="0026139D" w:rsidP="00593C3F">
      <w:pPr>
        <w:jc w:val="both"/>
        <w:rPr>
          <w:rFonts w:ascii="Times" w:hAnsi="Times" w:cs="Times"/>
          <w:sz w:val="26"/>
          <w:szCs w:val="26"/>
          <w:lang w:eastAsia="ja-JP"/>
        </w:rPr>
      </w:pPr>
    </w:p>
    <w:p w:rsidR="0026139D" w:rsidRPr="005F247F" w:rsidRDefault="0026139D" w:rsidP="00554853">
      <w:pPr>
        <w:pStyle w:val="ListParagraph"/>
        <w:ind w:left="900"/>
        <w:jc w:val="both"/>
        <w:rPr>
          <w:color w:val="000000"/>
        </w:rPr>
      </w:pPr>
    </w:p>
    <w:sectPr w:rsidR="0026139D" w:rsidRPr="005F247F" w:rsidSect="00E20D1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6BD"/>
    <w:multiLevelType w:val="hybridMultilevel"/>
    <w:tmpl w:val="5F6C12C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9E3FEB"/>
    <w:multiLevelType w:val="hybridMultilevel"/>
    <w:tmpl w:val="C64E503E"/>
    <w:lvl w:ilvl="0" w:tplc="80FA618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9BD4FC3"/>
    <w:multiLevelType w:val="hybridMultilevel"/>
    <w:tmpl w:val="5B3A4D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7441381"/>
    <w:multiLevelType w:val="hybridMultilevel"/>
    <w:tmpl w:val="DEDE7B96"/>
    <w:lvl w:ilvl="0" w:tplc="B5A63994">
      <w:start w:val="1"/>
      <w:numFmt w:val="bullet"/>
      <w:lvlText w:val="•"/>
      <w:lvlJc w:val="left"/>
      <w:pPr>
        <w:tabs>
          <w:tab w:val="num" w:pos="720"/>
        </w:tabs>
        <w:ind w:left="720" w:hanging="360"/>
      </w:pPr>
      <w:rPr>
        <w:rFonts w:ascii="Arial" w:hAnsi="Arial" w:hint="default"/>
      </w:rPr>
    </w:lvl>
    <w:lvl w:ilvl="1" w:tplc="5776DDC0" w:tentative="1">
      <w:start w:val="1"/>
      <w:numFmt w:val="bullet"/>
      <w:lvlText w:val="•"/>
      <w:lvlJc w:val="left"/>
      <w:pPr>
        <w:tabs>
          <w:tab w:val="num" w:pos="1440"/>
        </w:tabs>
        <w:ind w:left="1440" w:hanging="360"/>
      </w:pPr>
      <w:rPr>
        <w:rFonts w:ascii="Arial" w:hAnsi="Arial" w:hint="default"/>
      </w:rPr>
    </w:lvl>
    <w:lvl w:ilvl="2" w:tplc="D1229A24" w:tentative="1">
      <w:start w:val="1"/>
      <w:numFmt w:val="bullet"/>
      <w:lvlText w:val="•"/>
      <w:lvlJc w:val="left"/>
      <w:pPr>
        <w:tabs>
          <w:tab w:val="num" w:pos="2160"/>
        </w:tabs>
        <w:ind w:left="2160" w:hanging="360"/>
      </w:pPr>
      <w:rPr>
        <w:rFonts w:ascii="Arial" w:hAnsi="Arial" w:hint="default"/>
      </w:rPr>
    </w:lvl>
    <w:lvl w:ilvl="3" w:tplc="EDEC295E" w:tentative="1">
      <w:start w:val="1"/>
      <w:numFmt w:val="bullet"/>
      <w:lvlText w:val="•"/>
      <w:lvlJc w:val="left"/>
      <w:pPr>
        <w:tabs>
          <w:tab w:val="num" w:pos="2880"/>
        </w:tabs>
        <w:ind w:left="2880" w:hanging="360"/>
      </w:pPr>
      <w:rPr>
        <w:rFonts w:ascii="Arial" w:hAnsi="Arial" w:hint="default"/>
      </w:rPr>
    </w:lvl>
    <w:lvl w:ilvl="4" w:tplc="65E8FCF2" w:tentative="1">
      <w:start w:val="1"/>
      <w:numFmt w:val="bullet"/>
      <w:lvlText w:val="•"/>
      <w:lvlJc w:val="left"/>
      <w:pPr>
        <w:tabs>
          <w:tab w:val="num" w:pos="3600"/>
        </w:tabs>
        <w:ind w:left="3600" w:hanging="360"/>
      </w:pPr>
      <w:rPr>
        <w:rFonts w:ascii="Arial" w:hAnsi="Arial" w:hint="default"/>
      </w:rPr>
    </w:lvl>
    <w:lvl w:ilvl="5" w:tplc="58120710" w:tentative="1">
      <w:start w:val="1"/>
      <w:numFmt w:val="bullet"/>
      <w:lvlText w:val="•"/>
      <w:lvlJc w:val="left"/>
      <w:pPr>
        <w:tabs>
          <w:tab w:val="num" w:pos="4320"/>
        </w:tabs>
        <w:ind w:left="4320" w:hanging="360"/>
      </w:pPr>
      <w:rPr>
        <w:rFonts w:ascii="Arial" w:hAnsi="Arial" w:hint="default"/>
      </w:rPr>
    </w:lvl>
    <w:lvl w:ilvl="6" w:tplc="69A8A814" w:tentative="1">
      <w:start w:val="1"/>
      <w:numFmt w:val="bullet"/>
      <w:lvlText w:val="•"/>
      <w:lvlJc w:val="left"/>
      <w:pPr>
        <w:tabs>
          <w:tab w:val="num" w:pos="5040"/>
        </w:tabs>
        <w:ind w:left="5040" w:hanging="360"/>
      </w:pPr>
      <w:rPr>
        <w:rFonts w:ascii="Arial" w:hAnsi="Arial" w:hint="default"/>
      </w:rPr>
    </w:lvl>
    <w:lvl w:ilvl="7" w:tplc="91141312" w:tentative="1">
      <w:start w:val="1"/>
      <w:numFmt w:val="bullet"/>
      <w:lvlText w:val="•"/>
      <w:lvlJc w:val="left"/>
      <w:pPr>
        <w:tabs>
          <w:tab w:val="num" w:pos="5760"/>
        </w:tabs>
        <w:ind w:left="5760" w:hanging="360"/>
      </w:pPr>
      <w:rPr>
        <w:rFonts w:ascii="Arial" w:hAnsi="Arial" w:hint="default"/>
      </w:rPr>
    </w:lvl>
    <w:lvl w:ilvl="8" w:tplc="FDD81498" w:tentative="1">
      <w:start w:val="1"/>
      <w:numFmt w:val="bullet"/>
      <w:lvlText w:val="•"/>
      <w:lvlJc w:val="left"/>
      <w:pPr>
        <w:tabs>
          <w:tab w:val="num" w:pos="6480"/>
        </w:tabs>
        <w:ind w:left="6480" w:hanging="360"/>
      </w:pPr>
      <w:rPr>
        <w:rFonts w:ascii="Arial" w:hAnsi="Arial" w:hint="default"/>
      </w:rPr>
    </w:lvl>
  </w:abstractNum>
  <w:abstractNum w:abstractNumId="4">
    <w:nsid w:val="3FF25618"/>
    <w:multiLevelType w:val="hybridMultilevel"/>
    <w:tmpl w:val="42B68CB2"/>
    <w:lvl w:ilvl="0" w:tplc="0DF4BAA6">
      <w:start w:val="1"/>
      <w:numFmt w:val="bullet"/>
      <w:lvlText w:val="•"/>
      <w:lvlJc w:val="left"/>
      <w:pPr>
        <w:tabs>
          <w:tab w:val="num" w:pos="720"/>
        </w:tabs>
        <w:ind w:left="720" w:hanging="360"/>
      </w:pPr>
      <w:rPr>
        <w:rFonts w:ascii="Arial" w:hAnsi="Arial" w:hint="default"/>
      </w:rPr>
    </w:lvl>
    <w:lvl w:ilvl="1" w:tplc="0FE89F9E" w:tentative="1">
      <w:start w:val="1"/>
      <w:numFmt w:val="bullet"/>
      <w:lvlText w:val="•"/>
      <w:lvlJc w:val="left"/>
      <w:pPr>
        <w:tabs>
          <w:tab w:val="num" w:pos="1440"/>
        </w:tabs>
        <w:ind w:left="1440" w:hanging="360"/>
      </w:pPr>
      <w:rPr>
        <w:rFonts w:ascii="Arial" w:hAnsi="Arial" w:hint="default"/>
      </w:rPr>
    </w:lvl>
    <w:lvl w:ilvl="2" w:tplc="F2F68CC2" w:tentative="1">
      <w:start w:val="1"/>
      <w:numFmt w:val="bullet"/>
      <w:lvlText w:val="•"/>
      <w:lvlJc w:val="left"/>
      <w:pPr>
        <w:tabs>
          <w:tab w:val="num" w:pos="2160"/>
        </w:tabs>
        <w:ind w:left="2160" w:hanging="360"/>
      </w:pPr>
      <w:rPr>
        <w:rFonts w:ascii="Arial" w:hAnsi="Arial" w:hint="default"/>
      </w:rPr>
    </w:lvl>
    <w:lvl w:ilvl="3" w:tplc="8A18285E" w:tentative="1">
      <w:start w:val="1"/>
      <w:numFmt w:val="bullet"/>
      <w:lvlText w:val="•"/>
      <w:lvlJc w:val="left"/>
      <w:pPr>
        <w:tabs>
          <w:tab w:val="num" w:pos="2880"/>
        </w:tabs>
        <w:ind w:left="2880" w:hanging="360"/>
      </w:pPr>
      <w:rPr>
        <w:rFonts w:ascii="Arial" w:hAnsi="Arial" w:hint="default"/>
      </w:rPr>
    </w:lvl>
    <w:lvl w:ilvl="4" w:tplc="101AF082" w:tentative="1">
      <w:start w:val="1"/>
      <w:numFmt w:val="bullet"/>
      <w:lvlText w:val="•"/>
      <w:lvlJc w:val="left"/>
      <w:pPr>
        <w:tabs>
          <w:tab w:val="num" w:pos="3600"/>
        </w:tabs>
        <w:ind w:left="3600" w:hanging="360"/>
      </w:pPr>
      <w:rPr>
        <w:rFonts w:ascii="Arial" w:hAnsi="Arial" w:hint="default"/>
      </w:rPr>
    </w:lvl>
    <w:lvl w:ilvl="5" w:tplc="4CD028D8" w:tentative="1">
      <w:start w:val="1"/>
      <w:numFmt w:val="bullet"/>
      <w:lvlText w:val="•"/>
      <w:lvlJc w:val="left"/>
      <w:pPr>
        <w:tabs>
          <w:tab w:val="num" w:pos="4320"/>
        </w:tabs>
        <w:ind w:left="4320" w:hanging="360"/>
      </w:pPr>
      <w:rPr>
        <w:rFonts w:ascii="Arial" w:hAnsi="Arial" w:hint="default"/>
      </w:rPr>
    </w:lvl>
    <w:lvl w:ilvl="6" w:tplc="617AE0C0" w:tentative="1">
      <w:start w:val="1"/>
      <w:numFmt w:val="bullet"/>
      <w:lvlText w:val="•"/>
      <w:lvlJc w:val="left"/>
      <w:pPr>
        <w:tabs>
          <w:tab w:val="num" w:pos="5040"/>
        </w:tabs>
        <w:ind w:left="5040" w:hanging="360"/>
      </w:pPr>
      <w:rPr>
        <w:rFonts w:ascii="Arial" w:hAnsi="Arial" w:hint="default"/>
      </w:rPr>
    </w:lvl>
    <w:lvl w:ilvl="7" w:tplc="B1B892A6" w:tentative="1">
      <w:start w:val="1"/>
      <w:numFmt w:val="bullet"/>
      <w:lvlText w:val="•"/>
      <w:lvlJc w:val="left"/>
      <w:pPr>
        <w:tabs>
          <w:tab w:val="num" w:pos="5760"/>
        </w:tabs>
        <w:ind w:left="5760" w:hanging="360"/>
      </w:pPr>
      <w:rPr>
        <w:rFonts w:ascii="Arial" w:hAnsi="Arial" w:hint="default"/>
      </w:rPr>
    </w:lvl>
    <w:lvl w:ilvl="8" w:tplc="5B54FE24" w:tentative="1">
      <w:start w:val="1"/>
      <w:numFmt w:val="bullet"/>
      <w:lvlText w:val="•"/>
      <w:lvlJc w:val="left"/>
      <w:pPr>
        <w:tabs>
          <w:tab w:val="num" w:pos="6480"/>
        </w:tabs>
        <w:ind w:left="6480" w:hanging="360"/>
      </w:pPr>
      <w:rPr>
        <w:rFonts w:ascii="Arial" w:hAnsi="Arial" w:hint="default"/>
      </w:rPr>
    </w:lvl>
  </w:abstractNum>
  <w:abstractNum w:abstractNumId="5">
    <w:nsid w:val="41F467EB"/>
    <w:multiLevelType w:val="hybridMultilevel"/>
    <w:tmpl w:val="978E8D4E"/>
    <w:lvl w:ilvl="0" w:tplc="6DEC8E2C">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89F2CDE"/>
    <w:multiLevelType w:val="hybridMultilevel"/>
    <w:tmpl w:val="CF6E4B0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EC00009"/>
    <w:multiLevelType w:val="hybridMultilevel"/>
    <w:tmpl w:val="ED1E2F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6"/>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D1F"/>
    <w:rsid w:val="000003FE"/>
    <w:rsid w:val="000007AD"/>
    <w:rsid w:val="0000384F"/>
    <w:rsid w:val="00003B5D"/>
    <w:rsid w:val="000131A6"/>
    <w:rsid w:val="0001541D"/>
    <w:rsid w:val="00016ACF"/>
    <w:rsid w:val="000175C7"/>
    <w:rsid w:val="00022C8C"/>
    <w:rsid w:val="00031BD3"/>
    <w:rsid w:val="00041129"/>
    <w:rsid w:val="000440F5"/>
    <w:rsid w:val="0004642B"/>
    <w:rsid w:val="00047158"/>
    <w:rsid w:val="00081E20"/>
    <w:rsid w:val="0008597E"/>
    <w:rsid w:val="000A287C"/>
    <w:rsid w:val="000A37F0"/>
    <w:rsid w:val="000A5001"/>
    <w:rsid w:val="000A5409"/>
    <w:rsid w:val="000B41E2"/>
    <w:rsid w:val="000C267D"/>
    <w:rsid w:val="000C565D"/>
    <w:rsid w:val="000C6592"/>
    <w:rsid w:val="000C7B2F"/>
    <w:rsid w:val="000E6463"/>
    <w:rsid w:val="000F1301"/>
    <w:rsid w:val="001023D4"/>
    <w:rsid w:val="00102ED1"/>
    <w:rsid w:val="001071FF"/>
    <w:rsid w:val="00122484"/>
    <w:rsid w:val="00155040"/>
    <w:rsid w:val="00170E0A"/>
    <w:rsid w:val="00171D1A"/>
    <w:rsid w:val="00174609"/>
    <w:rsid w:val="00187B31"/>
    <w:rsid w:val="001A4971"/>
    <w:rsid w:val="001B16D1"/>
    <w:rsid w:val="001B397C"/>
    <w:rsid w:val="001C15A0"/>
    <w:rsid w:val="001D0FF3"/>
    <w:rsid w:val="001D31D1"/>
    <w:rsid w:val="001D543B"/>
    <w:rsid w:val="00201F23"/>
    <w:rsid w:val="00235C27"/>
    <w:rsid w:val="002417AA"/>
    <w:rsid w:val="00260379"/>
    <w:rsid w:val="0026139D"/>
    <w:rsid w:val="00262F3C"/>
    <w:rsid w:val="002737E1"/>
    <w:rsid w:val="002A35C6"/>
    <w:rsid w:val="002A59D5"/>
    <w:rsid w:val="002E3E97"/>
    <w:rsid w:val="002E4357"/>
    <w:rsid w:val="0030168D"/>
    <w:rsid w:val="00301BB3"/>
    <w:rsid w:val="00310F0E"/>
    <w:rsid w:val="00322265"/>
    <w:rsid w:val="003222B2"/>
    <w:rsid w:val="00342386"/>
    <w:rsid w:val="0035404A"/>
    <w:rsid w:val="00363D84"/>
    <w:rsid w:val="00365318"/>
    <w:rsid w:val="003712A8"/>
    <w:rsid w:val="00371C0D"/>
    <w:rsid w:val="00383906"/>
    <w:rsid w:val="00394F3C"/>
    <w:rsid w:val="003A3276"/>
    <w:rsid w:val="003A608C"/>
    <w:rsid w:val="003A6A4B"/>
    <w:rsid w:val="003A7ACC"/>
    <w:rsid w:val="003B4BE0"/>
    <w:rsid w:val="003B50B1"/>
    <w:rsid w:val="003B5876"/>
    <w:rsid w:val="003C2095"/>
    <w:rsid w:val="003C7D64"/>
    <w:rsid w:val="003F0037"/>
    <w:rsid w:val="003F1182"/>
    <w:rsid w:val="003F38EB"/>
    <w:rsid w:val="003F4B3B"/>
    <w:rsid w:val="003F7CFB"/>
    <w:rsid w:val="00400C07"/>
    <w:rsid w:val="00405A50"/>
    <w:rsid w:val="00412B3E"/>
    <w:rsid w:val="00421313"/>
    <w:rsid w:val="00432E00"/>
    <w:rsid w:val="0045524C"/>
    <w:rsid w:val="00471146"/>
    <w:rsid w:val="004721D0"/>
    <w:rsid w:val="00474C46"/>
    <w:rsid w:val="00481F49"/>
    <w:rsid w:val="0048594A"/>
    <w:rsid w:val="0049636E"/>
    <w:rsid w:val="004970AF"/>
    <w:rsid w:val="004A3933"/>
    <w:rsid w:val="004B665F"/>
    <w:rsid w:val="004E3379"/>
    <w:rsid w:val="00513762"/>
    <w:rsid w:val="00520CF9"/>
    <w:rsid w:val="00554853"/>
    <w:rsid w:val="005607D4"/>
    <w:rsid w:val="005741F1"/>
    <w:rsid w:val="005774E6"/>
    <w:rsid w:val="00593C3F"/>
    <w:rsid w:val="00593DB5"/>
    <w:rsid w:val="00594BA5"/>
    <w:rsid w:val="005A637E"/>
    <w:rsid w:val="005B21E6"/>
    <w:rsid w:val="005C3535"/>
    <w:rsid w:val="005C7D26"/>
    <w:rsid w:val="005D2E62"/>
    <w:rsid w:val="005D3E93"/>
    <w:rsid w:val="005E19AE"/>
    <w:rsid w:val="005E686D"/>
    <w:rsid w:val="005F192E"/>
    <w:rsid w:val="005F247F"/>
    <w:rsid w:val="005F3386"/>
    <w:rsid w:val="005F5255"/>
    <w:rsid w:val="0060662F"/>
    <w:rsid w:val="00613DF9"/>
    <w:rsid w:val="00616FF9"/>
    <w:rsid w:val="0065779A"/>
    <w:rsid w:val="00672063"/>
    <w:rsid w:val="00674F02"/>
    <w:rsid w:val="006834AD"/>
    <w:rsid w:val="00686F2B"/>
    <w:rsid w:val="006A5637"/>
    <w:rsid w:val="006A5ED7"/>
    <w:rsid w:val="006C0B9E"/>
    <w:rsid w:val="006D6F5A"/>
    <w:rsid w:val="006E40BC"/>
    <w:rsid w:val="006F33D9"/>
    <w:rsid w:val="006F4198"/>
    <w:rsid w:val="00711E13"/>
    <w:rsid w:val="00730FFF"/>
    <w:rsid w:val="0073520F"/>
    <w:rsid w:val="00740431"/>
    <w:rsid w:val="00770C1D"/>
    <w:rsid w:val="007711CD"/>
    <w:rsid w:val="00782041"/>
    <w:rsid w:val="007863C1"/>
    <w:rsid w:val="00790E67"/>
    <w:rsid w:val="00792BBD"/>
    <w:rsid w:val="00795D60"/>
    <w:rsid w:val="007A78CA"/>
    <w:rsid w:val="007B790F"/>
    <w:rsid w:val="007C1417"/>
    <w:rsid w:val="007D3AF2"/>
    <w:rsid w:val="007D608F"/>
    <w:rsid w:val="007F6A59"/>
    <w:rsid w:val="0080073C"/>
    <w:rsid w:val="00806A13"/>
    <w:rsid w:val="00831795"/>
    <w:rsid w:val="00833613"/>
    <w:rsid w:val="00834D8C"/>
    <w:rsid w:val="00856000"/>
    <w:rsid w:val="008660B8"/>
    <w:rsid w:val="008667B9"/>
    <w:rsid w:val="008738F2"/>
    <w:rsid w:val="00882B5B"/>
    <w:rsid w:val="00883F97"/>
    <w:rsid w:val="0088703A"/>
    <w:rsid w:val="008B5DB4"/>
    <w:rsid w:val="008C272A"/>
    <w:rsid w:val="008D2496"/>
    <w:rsid w:val="008F5B58"/>
    <w:rsid w:val="00912471"/>
    <w:rsid w:val="00923010"/>
    <w:rsid w:val="00933951"/>
    <w:rsid w:val="0093569D"/>
    <w:rsid w:val="00947D09"/>
    <w:rsid w:val="00956B6F"/>
    <w:rsid w:val="0097591A"/>
    <w:rsid w:val="00975D9B"/>
    <w:rsid w:val="00983197"/>
    <w:rsid w:val="00987B97"/>
    <w:rsid w:val="009962CE"/>
    <w:rsid w:val="009A3D56"/>
    <w:rsid w:val="009B11AD"/>
    <w:rsid w:val="009B27FC"/>
    <w:rsid w:val="009B3F55"/>
    <w:rsid w:val="009D458B"/>
    <w:rsid w:val="009E41B6"/>
    <w:rsid w:val="009F51DB"/>
    <w:rsid w:val="009F5E50"/>
    <w:rsid w:val="00A10C16"/>
    <w:rsid w:val="00A176B5"/>
    <w:rsid w:val="00A228A9"/>
    <w:rsid w:val="00A25FAF"/>
    <w:rsid w:val="00A27D59"/>
    <w:rsid w:val="00A37C16"/>
    <w:rsid w:val="00A5288B"/>
    <w:rsid w:val="00A63280"/>
    <w:rsid w:val="00A751A4"/>
    <w:rsid w:val="00A77222"/>
    <w:rsid w:val="00A840DC"/>
    <w:rsid w:val="00A84A83"/>
    <w:rsid w:val="00AA2508"/>
    <w:rsid w:val="00AB5027"/>
    <w:rsid w:val="00AC3C80"/>
    <w:rsid w:val="00AD15A5"/>
    <w:rsid w:val="00AD1F93"/>
    <w:rsid w:val="00AD4428"/>
    <w:rsid w:val="00AF2030"/>
    <w:rsid w:val="00AF7FED"/>
    <w:rsid w:val="00B02798"/>
    <w:rsid w:val="00B2451F"/>
    <w:rsid w:val="00B3144E"/>
    <w:rsid w:val="00B4156A"/>
    <w:rsid w:val="00B42DFA"/>
    <w:rsid w:val="00B55037"/>
    <w:rsid w:val="00B702AA"/>
    <w:rsid w:val="00B76160"/>
    <w:rsid w:val="00B810F1"/>
    <w:rsid w:val="00B90072"/>
    <w:rsid w:val="00B9599B"/>
    <w:rsid w:val="00B95E16"/>
    <w:rsid w:val="00BA63F3"/>
    <w:rsid w:val="00BA7689"/>
    <w:rsid w:val="00BB4F9A"/>
    <w:rsid w:val="00BE1456"/>
    <w:rsid w:val="00BE1A72"/>
    <w:rsid w:val="00BE3424"/>
    <w:rsid w:val="00BF1EF1"/>
    <w:rsid w:val="00BF41D0"/>
    <w:rsid w:val="00BF7C1F"/>
    <w:rsid w:val="00C140DD"/>
    <w:rsid w:val="00C1673F"/>
    <w:rsid w:val="00C33C05"/>
    <w:rsid w:val="00C5344F"/>
    <w:rsid w:val="00C557CF"/>
    <w:rsid w:val="00C5704A"/>
    <w:rsid w:val="00C8299D"/>
    <w:rsid w:val="00CA3B2F"/>
    <w:rsid w:val="00CC1A16"/>
    <w:rsid w:val="00CD081C"/>
    <w:rsid w:val="00CD30D2"/>
    <w:rsid w:val="00CD48CC"/>
    <w:rsid w:val="00CF4A60"/>
    <w:rsid w:val="00D00F43"/>
    <w:rsid w:val="00D017C4"/>
    <w:rsid w:val="00D06ABE"/>
    <w:rsid w:val="00D1149B"/>
    <w:rsid w:val="00D13718"/>
    <w:rsid w:val="00D164E7"/>
    <w:rsid w:val="00D41079"/>
    <w:rsid w:val="00D41702"/>
    <w:rsid w:val="00D4281A"/>
    <w:rsid w:val="00D42CD4"/>
    <w:rsid w:val="00D47DC5"/>
    <w:rsid w:val="00D54A36"/>
    <w:rsid w:val="00D642A7"/>
    <w:rsid w:val="00D738EC"/>
    <w:rsid w:val="00D74967"/>
    <w:rsid w:val="00D76CCA"/>
    <w:rsid w:val="00D85B73"/>
    <w:rsid w:val="00DA24C0"/>
    <w:rsid w:val="00DC2E0B"/>
    <w:rsid w:val="00DC63E5"/>
    <w:rsid w:val="00DD3196"/>
    <w:rsid w:val="00DD7AF1"/>
    <w:rsid w:val="00DE0DB1"/>
    <w:rsid w:val="00DE4FA6"/>
    <w:rsid w:val="00DF2FF3"/>
    <w:rsid w:val="00E20D1F"/>
    <w:rsid w:val="00E259AF"/>
    <w:rsid w:val="00E34269"/>
    <w:rsid w:val="00E537E3"/>
    <w:rsid w:val="00E539B8"/>
    <w:rsid w:val="00E65FD2"/>
    <w:rsid w:val="00E77CA1"/>
    <w:rsid w:val="00E956CA"/>
    <w:rsid w:val="00EC74EA"/>
    <w:rsid w:val="00ED0463"/>
    <w:rsid w:val="00EF3F6F"/>
    <w:rsid w:val="00EF42F6"/>
    <w:rsid w:val="00EF586A"/>
    <w:rsid w:val="00F03BBB"/>
    <w:rsid w:val="00F05C99"/>
    <w:rsid w:val="00F06895"/>
    <w:rsid w:val="00F1138A"/>
    <w:rsid w:val="00F1227E"/>
    <w:rsid w:val="00F1587A"/>
    <w:rsid w:val="00F15C50"/>
    <w:rsid w:val="00F229F5"/>
    <w:rsid w:val="00F244D1"/>
    <w:rsid w:val="00F25101"/>
    <w:rsid w:val="00F26FAA"/>
    <w:rsid w:val="00F42FEE"/>
    <w:rsid w:val="00F671BA"/>
    <w:rsid w:val="00F67932"/>
    <w:rsid w:val="00F7669D"/>
    <w:rsid w:val="00F86A1E"/>
    <w:rsid w:val="00F92085"/>
    <w:rsid w:val="00FA04F7"/>
    <w:rsid w:val="00FA69C1"/>
    <w:rsid w:val="00FB3EE7"/>
    <w:rsid w:val="00FC5E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2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0D1F"/>
    <w:pPr>
      <w:ind w:left="720"/>
      <w:contextualSpacing/>
    </w:pPr>
    <w:rPr>
      <w:rFonts w:ascii="Times" w:hAnsi="Times"/>
      <w:sz w:val="20"/>
      <w:szCs w:val="20"/>
    </w:rPr>
  </w:style>
  <w:style w:type="paragraph" w:styleId="NormalWeb">
    <w:name w:val="Normal (Web)"/>
    <w:basedOn w:val="Normal"/>
    <w:uiPriority w:val="99"/>
    <w:semiHidden/>
    <w:rsid w:val="00AA2508"/>
    <w:pPr>
      <w:spacing w:before="100" w:beforeAutospacing="1" w:after="100" w:afterAutospacing="1"/>
    </w:pPr>
    <w:rPr>
      <w:rFonts w:ascii="Times" w:hAnsi="Times"/>
      <w:sz w:val="20"/>
      <w:szCs w:val="20"/>
    </w:rPr>
  </w:style>
  <w:style w:type="character" w:styleId="Hyperlink">
    <w:name w:val="Hyperlink"/>
    <w:basedOn w:val="DefaultParagraphFont"/>
    <w:uiPriority w:val="99"/>
    <w:rsid w:val="003A608C"/>
    <w:rPr>
      <w:rFonts w:cs="Times New Roman"/>
      <w:color w:val="0000FF"/>
      <w:u w:val="single"/>
    </w:rPr>
  </w:style>
  <w:style w:type="character" w:styleId="FollowedHyperlink">
    <w:name w:val="FollowedHyperlink"/>
    <w:basedOn w:val="DefaultParagraphFont"/>
    <w:uiPriority w:val="99"/>
    <w:semiHidden/>
    <w:rsid w:val="002737E1"/>
    <w:rPr>
      <w:rFonts w:cs="Times New Roman"/>
      <w:color w:val="800080"/>
      <w:u w:val="single"/>
    </w:rPr>
  </w:style>
  <w:style w:type="paragraph" w:styleId="BalloonText">
    <w:name w:val="Balloon Text"/>
    <w:basedOn w:val="Normal"/>
    <w:link w:val="BalloonTextChar"/>
    <w:uiPriority w:val="99"/>
    <w:semiHidden/>
    <w:rsid w:val="003A32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A3276"/>
    <w:rPr>
      <w:rFonts w:ascii="Lucida Grande" w:hAnsi="Lucida Grande" w:cs="Lucida Grande"/>
      <w:sz w:val="18"/>
      <w:szCs w:val="18"/>
      <w:lang w:eastAsia="en-US"/>
    </w:rPr>
  </w:style>
  <w:style w:type="character" w:styleId="CommentReference">
    <w:name w:val="annotation reference"/>
    <w:basedOn w:val="DefaultParagraphFont"/>
    <w:uiPriority w:val="99"/>
    <w:semiHidden/>
    <w:rsid w:val="00593C3F"/>
    <w:rPr>
      <w:rFonts w:cs="Times New Roman"/>
      <w:sz w:val="16"/>
      <w:szCs w:val="16"/>
    </w:rPr>
  </w:style>
  <w:style w:type="paragraph" w:styleId="CommentText">
    <w:name w:val="annotation text"/>
    <w:basedOn w:val="Normal"/>
    <w:link w:val="CommentTextChar"/>
    <w:uiPriority w:val="99"/>
    <w:semiHidden/>
    <w:rsid w:val="00593C3F"/>
    <w:rPr>
      <w:sz w:val="20"/>
      <w:szCs w:val="20"/>
    </w:rPr>
  </w:style>
  <w:style w:type="character" w:customStyle="1" w:styleId="CommentTextChar">
    <w:name w:val="Comment Text Char"/>
    <w:basedOn w:val="DefaultParagraphFont"/>
    <w:link w:val="CommentText"/>
    <w:uiPriority w:val="99"/>
    <w:semiHidden/>
    <w:locked/>
    <w:rsid w:val="00593C3F"/>
    <w:rPr>
      <w:rFonts w:cs="Times New Roman"/>
      <w:lang w:eastAsia="en-US"/>
    </w:rPr>
  </w:style>
  <w:style w:type="paragraph" w:styleId="CommentSubject">
    <w:name w:val="annotation subject"/>
    <w:basedOn w:val="CommentText"/>
    <w:next w:val="CommentText"/>
    <w:link w:val="CommentSubjectChar"/>
    <w:uiPriority w:val="99"/>
    <w:semiHidden/>
    <w:rsid w:val="00593C3F"/>
    <w:rPr>
      <w:b/>
      <w:bCs/>
    </w:rPr>
  </w:style>
  <w:style w:type="character" w:customStyle="1" w:styleId="CommentSubjectChar">
    <w:name w:val="Comment Subject Char"/>
    <w:basedOn w:val="CommentTextChar"/>
    <w:link w:val="CommentSubject"/>
    <w:uiPriority w:val="99"/>
    <w:semiHidden/>
    <w:locked/>
    <w:rsid w:val="00593C3F"/>
    <w:rPr>
      <w:b/>
      <w:bCs/>
    </w:rPr>
  </w:style>
  <w:style w:type="paragraph" w:styleId="Revision">
    <w:name w:val="Revision"/>
    <w:hidden/>
    <w:uiPriority w:val="99"/>
    <w:semiHidden/>
    <w:rsid w:val="00F1138A"/>
    <w:rPr>
      <w:sz w:val="24"/>
      <w:szCs w:val="24"/>
    </w:rPr>
  </w:style>
</w:styles>
</file>

<file path=word/webSettings.xml><?xml version="1.0" encoding="utf-8"?>
<w:webSettings xmlns:r="http://schemas.openxmlformats.org/officeDocument/2006/relationships" xmlns:w="http://schemas.openxmlformats.org/wordprocessingml/2006/main">
  <w:divs>
    <w:div w:id="268896732">
      <w:marLeft w:val="0"/>
      <w:marRight w:val="0"/>
      <w:marTop w:val="0"/>
      <w:marBottom w:val="0"/>
      <w:divBdr>
        <w:top w:val="none" w:sz="0" w:space="0" w:color="auto"/>
        <w:left w:val="none" w:sz="0" w:space="0" w:color="auto"/>
        <w:bottom w:val="none" w:sz="0" w:space="0" w:color="auto"/>
        <w:right w:val="none" w:sz="0" w:space="0" w:color="auto"/>
      </w:divBdr>
    </w:div>
    <w:div w:id="268896741">
      <w:marLeft w:val="0"/>
      <w:marRight w:val="0"/>
      <w:marTop w:val="0"/>
      <w:marBottom w:val="0"/>
      <w:divBdr>
        <w:top w:val="none" w:sz="0" w:space="0" w:color="auto"/>
        <w:left w:val="none" w:sz="0" w:space="0" w:color="auto"/>
        <w:bottom w:val="none" w:sz="0" w:space="0" w:color="auto"/>
        <w:right w:val="none" w:sz="0" w:space="0" w:color="auto"/>
      </w:divBdr>
      <w:divsChild>
        <w:div w:id="268896730">
          <w:marLeft w:val="547"/>
          <w:marRight w:val="0"/>
          <w:marTop w:val="0"/>
          <w:marBottom w:val="0"/>
          <w:divBdr>
            <w:top w:val="none" w:sz="0" w:space="0" w:color="auto"/>
            <w:left w:val="none" w:sz="0" w:space="0" w:color="auto"/>
            <w:bottom w:val="none" w:sz="0" w:space="0" w:color="auto"/>
            <w:right w:val="none" w:sz="0" w:space="0" w:color="auto"/>
          </w:divBdr>
        </w:div>
        <w:div w:id="268896731">
          <w:marLeft w:val="547"/>
          <w:marRight w:val="0"/>
          <w:marTop w:val="0"/>
          <w:marBottom w:val="0"/>
          <w:divBdr>
            <w:top w:val="none" w:sz="0" w:space="0" w:color="auto"/>
            <w:left w:val="none" w:sz="0" w:space="0" w:color="auto"/>
            <w:bottom w:val="none" w:sz="0" w:space="0" w:color="auto"/>
            <w:right w:val="none" w:sz="0" w:space="0" w:color="auto"/>
          </w:divBdr>
        </w:div>
        <w:div w:id="268896733">
          <w:marLeft w:val="547"/>
          <w:marRight w:val="0"/>
          <w:marTop w:val="0"/>
          <w:marBottom w:val="0"/>
          <w:divBdr>
            <w:top w:val="none" w:sz="0" w:space="0" w:color="auto"/>
            <w:left w:val="none" w:sz="0" w:space="0" w:color="auto"/>
            <w:bottom w:val="none" w:sz="0" w:space="0" w:color="auto"/>
            <w:right w:val="none" w:sz="0" w:space="0" w:color="auto"/>
          </w:divBdr>
        </w:div>
        <w:div w:id="268896734">
          <w:marLeft w:val="547"/>
          <w:marRight w:val="0"/>
          <w:marTop w:val="0"/>
          <w:marBottom w:val="0"/>
          <w:divBdr>
            <w:top w:val="none" w:sz="0" w:space="0" w:color="auto"/>
            <w:left w:val="none" w:sz="0" w:space="0" w:color="auto"/>
            <w:bottom w:val="none" w:sz="0" w:space="0" w:color="auto"/>
            <w:right w:val="none" w:sz="0" w:space="0" w:color="auto"/>
          </w:divBdr>
        </w:div>
        <w:div w:id="268896735">
          <w:marLeft w:val="547"/>
          <w:marRight w:val="0"/>
          <w:marTop w:val="0"/>
          <w:marBottom w:val="0"/>
          <w:divBdr>
            <w:top w:val="none" w:sz="0" w:space="0" w:color="auto"/>
            <w:left w:val="none" w:sz="0" w:space="0" w:color="auto"/>
            <w:bottom w:val="none" w:sz="0" w:space="0" w:color="auto"/>
            <w:right w:val="none" w:sz="0" w:space="0" w:color="auto"/>
          </w:divBdr>
        </w:div>
        <w:div w:id="268896736">
          <w:marLeft w:val="547"/>
          <w:marRight w:val="0"/>
          <w:marTop w:val="0"/>
          <w:marBottom w:val="0"/>
          <w:divBdr>
            <w:top w:val="none" w:sz="0" w:space="0" w:color="auto"/>
            <w:left w:val="none" w:sz="0" w:space="0" w:color="auto"/>
            <w:bottom w:val="none" w:sz="0" w:space="0" w:color="auto"/>
            <w:right w:val="none" w:sz="0" w:space="0" w:color="auto"/>
          </w:divBdr>
        </w:div>
        <w:div w:id="268896738">
          <w:marLeft w:val="547"/>
          <w:marRight w:val="0"/>
          <w:marTop w:val="0"/>
          <w:marBottom w:val="0"/>
          <w:divBdr>
            <w:top w:val="none" w:sz="0" w:space="0" w:color="auto"/>
            <w:left w:val="none" w:sz="0" w:space="0" w:color="auto"/>
            <w:bottom w:val="none" w:sz="0" w:space="0" w:color="auto"/>
            <w:right w:val="none" w:sz="0" w:space="0" w:color="auto"/>
          </w:divBdr>
        </w:div>
        <w:div w:id="268896740">
          <w:marLeft w:val="547"/>
          <w:marRight w:val="0"/>
          <w:marTop w:val="0"/>
          <w:marBottom w:val="0"/>
          <w:divBdr>
            <w:top w:val="none" w:sz="0" w:space="0" w:color="auto"/>
            <w:left w:val="none" w:sz="0" w:space="0" w:color="auto"/>
            <w:bottom w:val="none" w:sz="0" w:space="0" w:color="auto"/>
            <w:right w:val="none" w:sz="0" w:space="0" w:color="auto"/>
          </w:divBdr>
        </w:div>
      </w:divsChild>
    </w:div>
    <w:div w:id="268896743">
      <w:marLeft w:val="0"/>
      <w:marRight w:val="0"/>
      <w:marTop w:val="0"/>
      <w:marBottom w:val="0"/>
      <w:divBdr>
        <w:top w:val="none" w:sz="0" w:space="0" w:color="auto"/>
        <w:left w:val="none" w:sz="0" w:space="0" w:color="auto"/>
        <w:bottom w:val="none" w:sz="0" w:space="0" w:color="auto"/>
        <w:right w:val="none" w:sz="0" w:space="0" w:color="auto"/>
      </w:divBdr>
    </w:div>
    <w:div w:id="268896745">
      <w:marLeft w:val="0"/>
      <w:marRight w:val="0"/>
      <w:marTop w:val="0"/>
      <w:marBottom w:val="0"/>
      <w:divBdr>
        <w:top w:val="none" w:sz="0" w:space="0" w:color="auto"/>
        <w:left w:val="none" w:sz="0" w:space="0" w:color="auto"/>
        <w:bottom w:val="none" w:sz="0" w:space="0" w:color="auto"/>
        <w:right w:val="none" w:sz="0" w:space="0" w:color="auto"/>
      </w:divBdr>
      <w:divsChild>
        <w:div w:id="268896737">
          <w:marLeft w:val="547"/>
          <w:marRight w:val="0"/>
          <w:marTop w:val="0"/>
          <w:marBottom w:val="0"/>
          <w:divBdr>
            <w:top w:val="none" w:sz="0" w:space="0" w:color="auto"/>
            <w:left w:val="none" w:sz="0" w:space="0" w:color="auto"/>
            <w:bottom w:val="none" w:sz="0" w:space="0" w:color="auto"/>
            <w:right w:val="none" w:sz="0" w:space="0" w:color="auto"/>
          </w:divBdr>
        </w:div>
        <w:div w:id="268896739">
          <w:marLeft w:val="547"/>
          <w:marRight w:val="0"/>
          <w:marTop w:val="0"/>
          <w:marBottom w:val="0"/>
          <w:divBdr>
            <w:top w:val="none" w:sz="0" w:space="0" w:color="auto"/>
            <w:left w:val="none" w:sz="0" w:space="0" w:color="auto"/>
            <w:bottom w:val="none" w:sz="0" w:space="0" w:color="auto"/>
            <w:right w:val="none" w:sz="0" w:space="0" w:color="auto"/>
          </w:divBdr>
        </w:div>
        <w:div w:id="268896742">
          <w:marLeft w:val="547"/>
          <w:marRight w:val="0"/>
          <w:marTop w:val="0"/>
          <w:marBottom w:val="0"/>
          <w:divBdr>
            <w:top w:val="none" w:sz="0" w:space="0" w:color="auto"/>
            <w:left w:val="none" w:sz="0" w:space="0" w:color="auto"/>
            <w:bottom w:val="none" w:sz="0" w:space="0" w:color="auto"/>
            <w:right w:val="none" w:sz="0" w:space="0" w:color="auto"/>
          </w:divBdr>
        </w:div>
        <w:div w:id="2688967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zp-prod1.hul.harvard.edu/pubmed?term=Smallwood%20JA%5BAuthor%5D&amp;cauthor=true&amp;cauthor_uid=22555337" TargetMode="External"/><Relationship Id="rId13" Type="http://schemas.openxmlformats.org/officeDocument/2006/relationships/hyperlink" Target="http://www.ncbi.nlm.nih.gov.ezp-prod1.hul.harvard.edu/pubmed?term=Gitlin%20DF%5BAuthor%5D&amp;cauthor=true&amp;cauthor_uid=2255533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ezp-prod1.hul.harvard.edu/pubmed?term=Rauch%20SL%5BAuthor%5D&amp;cauthor=true&amp;cauthor_uid=22555337" TargetMode="External"/><Relationship Id="rId12" Type="http://schemas.openxmlformats.org/officeDocument/2006/relationships/hyperlink" Target="http://www.ncbi.nlm.nih.gov.ezp-prod1.hul.harvard.edu/pubmed?term=Haimovici%20F%5BAuthor%5D&amp;cauthor=true&amp;cauthor_uid=2255533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ep.org/uploadedfiles/ACEP/Advocacy/federal_issues/PsychiatricBoardingSummary.pdf" TargetMode="External"/><Relationship Id="rId1" Type="http://schemas.openxmlformats.org/officeDocument/2006/relationships/numbering" Target="numbering.xml"/><Relationship Id="rId6" Type="http://schemas.openxmlformats.org/officeDocument/2006/relationships/hyperlink" Target="http://www.ncbi.nlm.nih.gov.ezp-prod1.hul.harvard.edu/pubmed?term=Chang%20G%5BAuthor%5D&amp;cauthor=true&amp;cauthor_uid=22555337" TargetMode="External"/><Relationship Id="rId11" Type="http://schemas.openxmlformats.org/officeDocument/2006/relationships/hyperlink" Target="http://www.ncbi.nlm.nih.gov.ezp-prod1.hul.harvard.edu/pubmed?term=Hazen%20E%5BAuthor%5D&amp;cauthor=true&amp;cauthor_uid=22555337" TargetMode="External"/><Relationship Id="rId5" Type="http://schemas.openxmlformats.org/officeDocument/2006/relationships/hyperlink" Target="http://www.ncbi.nlm.nih.gov.ezp-prod1.hul.harvard.edu/pubmed?term=Weiss%20AP%5BAuthor%5D&amp;cauthor=true&amp;cauthor_uid=22555337" TargetMode="External"/><Relationship Id="rId15" Type="http://schemas.openxmlformats.org/officeDocument/2006/relationships/hyperlink" Target="http://www.ncbi.nlm.nih.gov.ezp-prod1.hul.harvard.edu/pubmed?term=Orav%20EJ%5BAuthor%5D&amp;cauthor=true&amp;cauthor_uid=22555337" TargetMode="External"/><Relationship Id="rId10" Type="http://schemas.openxmlformats.org/officeDocument/2006/relationships/hyperlink" Target="http://www.ncbi.nlm.nih.gov.ezp-prod1.hul.harvard.edu/pubmed?term=Kosowsky%20J%5BAuthor%5D&amp;cauthor=true&amp;cauthor_uid=22555337" TargetMode="External"/><Relationship Id="rId4" Type="http://schemas.openxmlformats.org/officeDocument/2006/relationships/webSettings" Target="webSettings.xml"/><Relationship Id="rId9" Type="http://schemas.openxmlformats.org/officeDocument/2006/relationships/hyperlink" Target="http://www.ncbi.nlm.nih.gov.ezp-prod1.hul.harvard.edu/pubmed?term=Schechter%20M%5BAuthor%5D&amp;cauthor=true&amp;cauthor_uid=22555337" TargetMode="External"/><Relationship Id="rId14" Type="http://schemas.openxmlformats.org/officeDocument/2006/relationships/hyperlink" Target="http://www.ncbi.nlm.nih.gov.ezp-prod1.hul.harvard.edu/pubmed?term=Finn%20CT%5BAuthor%5D&amp;cauthor=true&amp;cauthor_uid=22555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1007</Words>
  <Characters>5743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Prior Authorization Approval Does Not Substantially Lengthen the Emergency Department Length of Stay for Patients with Psychiatric Conditions</dc:title>
  <dc:subject/>
  <dc:creator>Amy Funkenstein User</dc:creator>
  <cp:keywords/>
  <dc:description/>
  <cp:lastModifiedBy>Mark Almberg</cp:lastModifiedBy>
  <cp:revision>2</cp:revision>
  <cp:lastPrinted>2013-04-11T15:29:00Z</cp:lastPrinted>
  <dcterms:created xsi:type="dcterms:W3CDTF">2013-04-11T18:19:00Z</dcterms:created>
  <dcterms:modified xsi:type="dcterms:W3CDTF">2013-04-11T18:19:00Z</dcterms:modified>
</cp:coreProperties>
</file>